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000" w:firstRow="0" w:lastRow="0" w:firstColumn="0" w:lastColumn="0" w:noHBand="0" w:noVBand="0"/>
      </w:tblPr>
      <w:tblGrid>
        <w:gridCol w:w="959"/>
        <w:gridCol w:w="6520"/>
        <w:gridCol w:w="1560"/>
      </w:tblGrid>
      <w:tr w:rsidR="007F14B1" w14:paraId="3A1871F3" w14:textId="77777777" w:rsidTr="00E10F33">
        <w:tc>
          <w:tcPr>
            <w:tcW w:w="959" w:type="dxa"/>
          </w:tcPr>
          <w:p w14:paraId="7EE9A61E" w14:textId="77777777" w:rsidR="007F14B1" w:rsidRDefault="007F14B1" w:rsidP="00E57E64">
            <w:pPr>
              <w:pStyle w:val="Heading1"/>
              <w:spacing w:before="120" w:after="120"/>
              <w:rPr>
                <w:rFonts w:ascii="Arial Mäori" w:hAnsi="Arial Mäori"/>
                <w:sz w:val="22"/>
              </w:rPr>
            </w:pPr>
          </w:p>
        </w:tc>
        <w:tc>
          <w:tcPr>
            <w:tcW w:w="6520" w:type="dxa"/>
          </w:tcPr>
          <w:p w14:paraId="6496C4EF" w14:textId="1B02B1C7" w:rsidR="007F14B1" w:rsidRPr="00860456" w:rsidRDefault="007F14B1" w:rsidP="00E57E64">
            <w:pPr>
              <w:pStyle w:val="Heading1"/>
              <w:spacing w:before="120" w:after="120"/>
              <w:rPr>
                <w:rFonts w:ascii="Arial Mäori" w:hAnsi="Arial Mäori"/>
                <w:sz w:val="22"/>
              </w:rPr>
            </w:pPr>
            <w:r w:rsidRPr="00860456">
              <w:rPr>
                <w:rFonts w:ascii="Arial Mäori" w:hAnsi="Arial Mäori"/>
                <w:sz w:val="22"/>
              </w:rPr>
              <w:t>CANON V</w:t>
            </w:r>
          </w:p>
        </w:tc>
        <w:tc>
          <w:tcPr>
            <w:tcW w:w="1560" w:type="dxa"/>
          </w:tcPr>
          <w:p w14:paraId="070DDE5E" w14:textId="54B63C83" w:rsidR="007F14B1" w:rsidRPr="00671E04" w:rsidRDefault="009F5134" w:rsidP="00E57E64">
            <w:pPr>
              <w:pStyle w:val="Heading1"/>
              <w:spacing w:before="120" w:after="120"/>
              <w:ind w:left="34"/>
              <w:jc w:val="left"/>
              <w:rPr>
                <w:rFonts w:ascii="Arial Mäori" w:hAnsi="Arial Mäori"/>
                <w:b w:val="0"/>
                <w:i/>
                <w:sz w:val="18"/>
                <w:u w:val="none"/>
              </w:rPr>
            </w:pPr>
            <w:r>
              <w:rPr>
                <w:rFonts w:ascii="Arial Mäori" w:hAnsi="Arial Mäori"/>
                <w:b w:val="0"/>
                <w:i/>
                <w:sz w:val="18"/>
                <w:u w:val="none"/>
              </w:rPr>
              <w:t>Renumbered</w:t>
            </w:r>
            <w:r>
              <w:rPr>
                <w:rFonts w:ascii="Arial Mäori" w:hAnsi="Arial Mäori"/>
                <w:b w:val="0"/>
                <w:i/>
                <w:sz w:val="18"/>
                <w:u w:val="none"/>
              </w:rPr>
              <w:br/>
            </w:r>
            <w:r w:rsidR="0067026C">
              <w:rPr>
                <w:rFonts w:ascii="Arial Mäori" w:hAnsi="Arial Mäori"/>
                <w:b w:val="0"/>
                <w:i/>
                <w:sz w:val="18"/>
                <w:u w:val="none"/>
              </w:rPr>
              <w:t>202</w:t>
            </w:r>
            <w:r w:rsidR="00625739">
              <w:rPr>
                <w:rFonts w:ascii="Arial Mäori" w:hAnsi="Arial Mäori"/>
                <w:b w:val="0"/>
                <w:i/>
                <w:sz w:val="18"/>
                <w:u w:val="none"/>
              </w:rPr>
              <w:t>0</w:t>
            </w:r>
          </w:p>
        </w:tc>
      </w:tr>
      <w:tr w:rsidR="007F14B1" w14:paraId="5B16E661" w14:textId="77777777" w:rsidTr="00E10F33">
        <w:tc>
          <w:tcPr>
            <w:tcW w:w="959" w:type="dxa"/>
          </w:tcPr>
          <w:p w14:paraId="56D83AC9" w14:textId="77777777" w:rsidR="007F14B1" w:rsidRDefault="007F14B1" w:rsidP="00E57E64">
            <w:pPr>
              <w:jc w:val="center"/>
              <w:rPr>
                <w:b/>
                <w:u w:val="single"/>
              </w:rPr>
            </w:pPr>
          </w:p>
        </w:tc>
        <w:tc>
          <w:tcPr>
            <w:tcW w:w="6520" w:type="dxa"/>
          </w:tcPr>
          <w:p w14:paraId="4054241C" w14:textId="4A28BD07" w:rsidR="007F14B1" w:rsidRPr="00860456" w:rsidRDefault="007F14B1" w:rsidP="00E57E64">
            <w:pPr>
              <w:jc w:val="center"/>
              <w:rPr>
                <w:b/>
                <w:u w:val="single"/>
              </w:rPr>
            </w:pPr>
            <w:r w:rsidRPr="00860456">
              <w:rPr>
                <w:b/>
                <w:u w:val="single"/>
              </w:rPr>
              <w:t>OF CHANCELLORS and LEGAL ADVISERS</w:t>
            </w:r>
          </w:p>
          <w:p w14:paraId="76FA2002" w14:textId="77777777" w:rsidR="007F14B1" w:rsidRPr="00860456" w:rsidRDefault="007F14B1" w:rsidP="00E57E64">
            <w:pPr>
              <w:jc w:val="center"/>
              <w:rPr>
                <w:b/>
                <w:u w:val="single"/>
              </w:rPr>
            </w:pPr>
          </w:p>
        </w:tc>
        <w:tc>
          <w:tcPr>
            <w:tcW w:w="1560" w:type="dxa"/>
          </w:tcPr>
          <w:p w14:paraId="74AAE4C2" w14:textId="77777777" w:rsidR="007F14B1" w:rsidRDefault="007F14B1" w:rsidP="00E57E64">
            <w:pPr>
              <w:ind w:left="34"/>
              <w:rPr>
                <w:b/>
                <w:i/>
                <w:sz w:val="18"/>
                <w:u w:val="single"/>
              </w:rPr>
            </w:pPr>
          </w:p>
        </w:tc>
      </w:tr>
      <w:tr w:rsidR="007F14B1" w14:paraId="1A5F977B" w14:textId="77777777" w:rsidTr="00E10F33">
        <w:tc>
          <w:tcPr>
            <w:tcW w:w="959" w:type="dxa"/>
          </w:tcPr>
          <w:p w14:paraId="1890F37A" w14:textId="77777777" w:rsidR="007F14B1" w:rsidRDefault="007F14B1" w:rsidP="00E57E64">
            <w:r>
              <w:t>1.</w:t>
            </w:r>
          </w:p>
        </w:tc>
        <w:tc>
          <w:tcPr>
            <w:tcW w:w="6520" w:type="dxa"/>
          </w:tcPr>
          <w:p w14:paraId="0BD959CD" w14:textId="77777777" w:rsidR="007F14B1" w:rsidRDefault="007F14B1" w:rsidP="00E57E64">
            <w:pPr>
              <w:jc w:val="both"/>
            </w:pPr>
            <w:r>
              <w:t>Every Episcopal Unit shall have a Chancellor and / or one or more Legal Advisers who shall be appointed by the Bishop of the Episcopal Unit.</w:t>
            </w:r>
          </w:p>
        </w:tc>
        <w:tc>
          <w:tcPr>
            <w:tcW w:w="1560" w:type="dxa"/>
          </w:tcPr>
          <w:p w14:paraId="2C56D614" w14:textId="77777777" w:rsidR="007F14B1" w:rsidRDefault="007F14B1" w:rsidP="00E57E64">
            <w:pPr>
              <w:ind w:left="34"/>
              <w:rPr>
                <w:i/>
                <w:sz w:val="18"/>
              </w:rPr>
            </w:pPr>
            <w:r>
              <w:rPr>
                <w:i/>
                <w:sz w:val="18"/>
              </w:rPr>
              <w:t>Chancellor, Legal adviser</w:t>
            </w:r>
          </w:p>
        </w:tc>
      </w:tr>
      <w:tr w:rsidR="007F14B1" w14:paraId="382EBD96" w14:textId="77777777" w:rsidTr="00E10F33">
        <w:tc>
          <w:tcPr>
            <w:tcW w:w="959" w:type="dxa"/>
          </w:tcPr>
          <w:p w14:paraId="604317D5" w14:textId="77777777" w:rsidR="007F14B1" w:rsidRDefault="007F14B1" w:rsidP="00E57E64">
            <w:r>
              <w:t>1.1</w:t>
            </w:r>
          </w:p>
        </w:tc>
        <w:tc>
          <w:tcPr>
            <w:tcW w:w="6520" w:type="dxa"/>
          </w:tcPr>
          <w:p w14:paraId="08F63188" w14:textId="77777777" w:rsidR="007F14B1" w:rsidRDefault="007F14B1" w:rsidP="00E57E64">
            <w:pPr>
              <w:jc w:val="both"/>
            </w:pPr>
            <w:r>
              <w:t xml:space="preserve">Where an Episcopal Unit does not appoint a Chancellor and has more than one Legal Adviser, one Legal Adviser for that Episcopal Unit shall be designated by the </w:t>
            </w:r>
            <w:proofErr w:type="gramStart"/>
            <w:r>
              <w:t>Bishop</w:t>
            </w:r>
            <w:proofErr w:type="gramEnd"/>
            <w:r>
              <w:t xml:space="preserve"> as the person to fulfil the role of Chancellor in any issue or action that requires a Chancellor by law or by Canon and shall be the Designated Legal Adviser. If an Episcopal Unit without a Chancellor has only one Legal Adviser that Legal Adviser shall be the Designated Legal Adviser.</w:t>
            </w:r>
          </w:p>
        </w:tc>
        <w:tc>
          <w:tcPr>
            <w:tcW w:w="1560" w:type="dxa"/>
          </w:tcPr>
          <w:p w14:paraId="67D6D824" w14:textId="77777777" w:rsidR="007F14B1" w:rsidRDefault="007F14B1" w:rsidP="00E57E64">
            <w:pPr>
              <w:ind w:left="34"/>
              <w:rPr>
                <w:i/>
                <w:sz w:val="18"/>
              </w:rPr>
            </w:pPr>
            <w:r>
              <w:rPr>
                <w:i/>
                <w:sz w:val="18"/>
              </w:rPr>
              <w:t>More than one legal adviser</w:t>
            </w:r>
          </w:p>
        </w:tc>
      </w:tr>
      <w:tr w:rsidR="007F14B1" w14:paraId="72E0D122" w14:textId="77777777" w:rsidTr="00E10F33">
        <w:tc>
          <w:tcPr>
            <w:tcW w:w="959" w:type="dxa"/>
          </w:tcPr>
          <w:p w14:paraId="742BFB88" w14:textId="77777777" w:rsidR="007F14B1" w:rsidRDefault="007F14B1" w:rsidP="00E57E64">
            <w:pPr>
              <w:pStyle w:val="BodyText3"/>
            </w:pPr>
            <w:r>
              <w:t>2.</w:t>
            </w:r>
          </w:p>
        </w:tc>
        <w:tc>
          <w:tcPr>
            <w:tcW w:w="6520" w:type="dxa"/>
          </w:tcPr>
          <w:p w14:paraId="565D7AA7" w14:textId="77777777" w:rsidR="007F14B1" w:rsidRDefault="007F14B1" w:rsidP="00E57E64">
            <w:pPr>
              <w:pStyle w:val="BodyText3"/>
            </w:pPr>
            <w:r>
              <w:t xml:space="preserve">Persons to be appointed to any of these offices shall be any member of this Church who is enrolled as a barrister or solicitor of the High Court of New Zealand of not less than seven years standing or who holds similar qualifications and experience in any of the legal jurisdictions in the Diocese of Polynesia.  </w:t>
            </w:r>
          </w:p>
        </w:tc>
        <w:tc>
          <w:tcPr>
            <w:tcW w:w="1560" w:type="dxa"/>
          </w:tcPr>
          <w:p w14:paraId="5B374862" w14:textId="77777777" w:rsidR="007F14B1" w:rsidRDefault="007F14B1" w:rsidP="00E57E64">
            <w:pPr>
              <w:pStyle w:val="BodyText3"/>
              <w:ind w:left="34"/>
              <w:jc w:val="left"/>
              <w:rPr>
                <w:i/>
                <w:sz w:val="18"/>
              </w:rPr>
            </w:pPr>
            <w:r>
              <w:rPr>
                <w:i/>
                <w:sz w:val="18"/>
              </w:rPr>
              <w:t>Qualifications</w:t>
            </w:r>
          </w:p>
        </w:tc>
      </w:tr>
      <w:tr w:rsidR="007F14B1" w14:paraId="31D3E9EE" w14:textId="77777777" w:rsidTr="00E10F33">
        <w:tc>
          <w:tcPr>
            <w:tcW w:w="959" w:type="dxa"/>
          </w:tcPr>
          <w:p w14:paraId="35C3F705" w14:textId="77777777" w:rsidR="007F14B1" w:rsidRDefault="007F14B1" w:rsidP="00E57E64">
            <w:r>
              <w:t>3.</w:t>
            </w:r>
          </w:p>
        </w:tc>
        <w:tc>
          <w:tcPr>
            <w:tcW w:w="6520" w:type="dxa"/>
          </w:tcPr>
          <w:p w14:paraId="39E8436C" w14:textId="77777777" w:rsidR="007F14B1" w:rsidRDefault="007F14B1" w:rsidP="00E57E64">
            <w:pPr>
              <w:jc w:val="both"/>
            </w:pPr>
            <w:r>
              <w:t xml:space="preserve">Chancellors and Legal Advisers shall hold office in the Episcopal Unit at the pleasure of the </w:t>
            </w:r>
            <w:proofErr w:type="gramStart"/>
            <w:r>
              <w:t>Bishop</w:t>
            </w:r>
            <w:proofErr w:type="gramEnd"/>
            <w:r>
              <w:t>.</w:t>
            </w:r>
          </w:p>
        </w:tc>
        <w:tc>
          <w:tcPr>
            <w:tcW w:w="1560" w:type="dxa"/>
          </w:tcPr>
          <w:p w14:paraId="1E6F6073" w14:textId="77777777" w:rsidR="007F14B1" w:rsidRDefault="007F14B1" w:rsidP="00E57E64">
            <w:pPr>
              <w:ind w:left="34"/>
              <w:rPr>
                <w:i/>
                <w:sz w:val="18"/>
              </w:rPr>
            </w:pPr>
            <w:r>
              <w:rPr>
                <w:i/>
                <w:sz w:val="18"/>
              </w:rPr>
              <w:t>Tenure</w:t>
            </w:r>
          </w:p>
        </w:tc>
      </w:tr>
      <w:tr w:rsidR="007F14B1" w14:paraId="5EEF2920" w14:textId="77777777" w:rsidTr="00E10F33">
        <w:tc>
          <w:tcPr>
            <w:tcW w:w="959" w:type="dxa"/>
          </w:tcPr>
          <w:p w14:paraId="29C2143F" w14:textId="77777777" w:rsidR="007F14B1" w:rsidRDefault="007F14B1" w:rsidP="00E57E64">
            <w:pPr>
              <w:pStyle w:val="BodyText3"/>
            </w:pPr>
            <w:r>
              <w:t>4.</w:t>
            </w:r>
          </w:p>
        </w:tc>
        <w:tc>
          <w:tcPr>
            <w:tcW w:w="6520" w:type="dxa"/>
          </w:tcPr>
          <w:p w14:paraId="158F84FD" w14:textId="77777777" w:rsidR="007F14B1" w:rsidRDefault="007F14B1" w:rsidP="00E57E64">
            <w:pPr>
              <w:pStyle w:val="BodyText3"/>
            </w:pPr>
            <w:r>
              <w:t xml:space="preserve">The Chancellor, or if the Episcopal Unit has no </w:t>
            </w:r>
            <w:proofErr w:type="gramStart"/>
            <w:r>
              <w:t>Chancellor</w:t>
            </w:r>
            <w:proofErr w:type="gramEnd"/>
            <w:r>
              <w:t xml:space="preserve"> then the Designated Legal Adviser of the Episcopal Unit, shall fulfil that office under the Anglican Church Trust Act 1981 Parts III and IV, and any other provision of Parliament or the law of the State in which the Episcopal Unit has jurisdiction in which a Chancellor of this Church shall be named to act.  </w:t>
            </w:r>
          </w:p>
        </w:tc>
        <w:tc>
          <w:tcPr>
            <w:tcW w:w="1560" w:type="dxa"/>
          </w:tcPr>
          <w:p w14:paraId="3DED980E" w14:textId="77777777" w:rsidR="007F14B1" w:rsidRDefault="007F14B1" w:rsidP="00E57E64">
            <w:pPr>
              <w:pStyle w:val="BodyText3"/>
              <w:ind w:left="34"/>
              <w:jc w:val="left"/>
              <w:rPr>
                <w:i/>
                <w:sz w:val="18"/>
              </w:rPr>
            </w:pPr>
            <w:r>
              <w:rPr>
                <w:i/>
                <w:sz w:val="18"/>
              </w:rPr>
              <w:t>Legal adviser</w:t>
            </w:r>
          </w:p>
        </w:tc>
      </w:tr>
      <w:tr w:rsidR="007F14B1" w14:paraId="48E78454" w14:textId="77777777" w:rsidTr="00E10F33">
        <w:tc>
          <w:tcPr>
            <w:tcW w:w="959" w:type="dxa"/>
          </w:tcPr>
          <w:p w14:paraId="18099AE0" w14:textId="77777777" w:rsidR="007F14B1" w:rsidRDefault="007F14B1" w:rsidP="00E57E64">
            <w:r>
              <w:t>5.</w:t>
            </w:r>
          </w:p>
        </w:tc>
        <w:tc>
          <w:tcPr>
            <w:tcW w:w="6520" w:type="dxa"/>
          </w:tcPr>
          <w:p w14:paraId="43874C94" w14:textId="77777777" w:rsidR="007F14B1" w:rsidRDefault="007F14B1" w:rsidP="00E57E64">
            <w:pPr>
              <w:jc w:val="both"/>
            </w:pPr>
            <w:r>
              <w:t xml:space="preserve">The Chancellor, or if the Episcopal Unit has no </w:t>
            </w:r>
            <w:proofErr w:type="gramStart"/>
            <w:r>
              <w:t>Chancellor</w:t>
            </w:r>
            <w:proofErr w:type="gramEnd"/>
            <w:r>
              <w:t xml:space="preserve"> then the Designated Legal Adviser to the Episcopal Unit, shall exercise such traditional roles as are part of the office of Chancellor in this Church not inconsistent with this Title D.  </w:t>
            </w:r>
          </w:p>
        </w:tc>
        <w:tc>
          <w:tcPr>
            <w:tcW w:w="1560" w:type="dxa"/>
          </w:tcPr>
          <w:p w14:paraId="3891B55D" w14:textId="77777777" w:rsidR="007F14B1" w:rsidRDefault="007F14B1" w:rsidP="00E57E64">
            <w:pPr>
              <w:ind w:left="34"/>
              <w:rPr>
                <w:i/>
                <w:sz w:val="18"/>
              </w:rPr>
            </w:pPr>
            <w:r>
              <w:rPr>
                <w:i/>
                <w:sz w:val="18"/>
              </w:rPr>
              <w:t>Traditional role</w:t>
            </w:r>
          </w:p>
        </w:tc>
      </w:tr>
      <w:tr w:rsidR="00D65137" w14:paraId="0CA86D88" w14:textId="77777777" w:rsidTr="00E10F33">
        <w:tc>
          <w:tcPr>
            <w:tcW w:w="959" w:type="dxa"/>
          </w:tcPr>
          <w:p w14:paraId="6F7BA6A4" w14:textId="66F42C80" w:rsidR="00D65137" w:rsidRDefault="00E10F33" w:rsidP="00E57E64">
            <w:r>
              <w:t>6</w:t>
            </w:r>
            <w:r w:rsidR="00D65137">
              <w:t>.</w:t>
            </w:r>
          </w:p>
        </w:tc>
        <w:tc>
          <w:tcPr>
            <w:tcW w:w="6520" w:type="dxa"/>
          </w:tcPr>
          <w:p w14:paraId="75B4CF7F" w14:textId="72053D8F" w:rsidR="00D65137" w:rsidRDefault="00D65137" w:rsidP="00E57E64">
            <w:pPr>
              <w:jc w:val="both"/>
            </w:pPr>
            <w:r>
              <w:t xml:space="preserve">The </w:t>
            </w:r>
            <w:proofErr w:type="gramStart"/>
            <w:r>
              <w:t>Province</w:t>
            </w:r>
            <w:proofErr w:type="gramEnd"/>
            <w:r>
              <w:t xml:space="preserve"> shall have a Chancellor, and may have one or more Vice-Chancellors, who must be appointed by the Primate / te P</w:t>
            </w:r>
            <w:r>
              <w:rPr>
                <w:rFonts w:ascii="Arial" w:hAnsi="Arial" w:cs="Arial"/>
              </w:rPr>
              <w:t>ī</w:t>
            </w:r>
            <w:r>
              <w:t>hopa M</w:t>
            </w:r>
            <w:r>
              <w:rPr>
                <w:rFonts w:ascii="Arial" w:hAnsi="Arial" w:cs="Arial"/>
              </w:rPr>
              <w:t>ā</w:t>
            </w:r>
            <w:r>
              <w:t>t</w:t>
            </w:r>
            <w:r>
              <w:rPr>
                <w:rFonts w:ascii="Arial" w:hAnsi="Arial" w:cs="Arial"/>
              </w:rPr>
              <w:t>ā</w:t>
            </w:r>
            <w:r>
              <w:t>mua.</w:t>
            </w:r>
          </w:p>
        </w:tc>
        <w:tc>
          <w:tcPr>
            <w:tcW w:w="1560" w:type="dxa"/>
          </w:tcPr>
          <w:p w14:paraId="348926F6" w14:textId="2657AFCF" w:rsidR="00D65137" w:rsidRDefault="00101156" w:rsidP="00094E6D">
            <w:pPr>
              <w:spacing w:before="40"/>
              <w:ind w:left="34"/>
              <w:rPr>
                <w:i/>
                <w:sz w:val="18"/>
              </w:rPr>
            </w:pPr>
            <w:r>
              <w:rPr>
                <w:i/>
                <w:sz w:val="18"/>
              </w:rPr>
              <w:t>2020</w:t>
            </w:r>
            <w:r w:rsidR="000F1A8D">
              <w:rPr>
                <w:i/>
                <w:sz w:val="18"/>
              </w:rPr>
              <w:t xml:space="preserve">, </w:t>
            </w:r>
            <w:r w:rsidR="0067026C">
              <w:rPr>
                <w:i/>
                <w:sz w:val="18"/>
              </w:rPr>
              <w:t>2022</w:t>
            </w:r>
          </w:p>
        </w:tc>
      </w:tr>
      <w:tr w:rsidR="00D65137" w14:paraId="6A4841F2" w14:textId="77777777" w:rsidTr="00E10F33">
        <w:tc>
          <w:tcPr>
            <w:tcW w:w="959" w:type="dxa"/>
          </w:tcPr>
          <w:p w14:paraId="434B6C18" w14:textId="25644C2D" w:rsidR="00D65137" w:rsidRDefault="00E10F33" w:rsidP="00E57E64">
            <w:r>
              <w:t>7</w:t>
            </w:r>
            <w:r w:rsidR="00D65137">
              <w:t>.</w:t>
            </w:r>
          </w:p>
        </w:tc>
        <w:tc>
          <w:tcPr>
            <w:tcW w:w="6520" w:type="dxa"/>
          </w:tcPr>
          <w:p w14:paraId="3F7EAA96" w14:textId="05F31708" w:rsidR="00D65137" w:rsidRDefault="00D65137" w:rsidP="00E57E64">
            <w:pPr>
              <w:jc w:val="both"/>
            </w:pPr>
            <w:r>
              <w:t>Persons to be appointed to any of the offices</w:t>
            </w:r>
            <w:r w:rsidR="00EC3C00">
              <w:t xml:space="preserve"> at clause </w:t>
            </w:r>
            <w:r w:rsidR="00101156">
              <w:t>6</w:t>
            </w:r>
            <w:r w:rsidR="00EC3C00">
              <w:t xml:space="preserve"> shall be any member of this Church who is enrolled as a barrister or solicitor of the High Court of New Zealand of not less than seven years standing or who holds similar qualifications and experience in any of the legal jurisdictions in the Diocese of Polynesia.</w:t>
            </w:r>
          </w:p>
        </w:tc>
        <w:tc>
          <w:tcPr>
            <w:tcW w:w="1560" w:type="dxa"/>
          </w:tcPr>
          <w:p w14:paraId="79631C79" w14:textId="7DB3674C" w:rsidR="00D65137" w:rsidRDefault="00C70273" w:rsidP="00094E6D">
            <w:pPr>
              <w:spacing w:before="40"/>
              <w:ind w:left="34"/>
              <w:rPr>
                <w:i/>
                <w:sz w:val="18"/>
              </w:rPr>
            </w:pPr>
            <w:r>
              <w:rPr>
                <w:i/>
                <w:sz w:val="18"/>
              </w:rPr>
              <w:t>2020</w:t>
            </w:r>
            <w:r w:rsidR="000F1A8D">
              <w:rPr>
                <w:i/>
                <w:sz w:val="18"/>
              </w:rPr>
              <w:t>,</w:t>
            </w:r>
            <w:r>
              <w:rPr>
                <w:i/>
                <w:sz w:val="18"/>
              </w:rPr>
              <w:t xml:space="preserve"> </w:t>
            </w:r>
            <w:r w:rsidR="0067026C">
              <w:rPr>
                <w:i/>
                <w:sz w:val="18"/>
              </w:rPr>
              <w:t>2022</w:t>
            </w:r>
          </w:p>
        </w:tc>
      </w:tr>
      <w:tr w:rsidR="0027231E" w14:paraId="45A734BB" w14:textId="77777777" w:rsidTr="00E10F33">
        <w:tc>
          <w:tcPr>
            <w:tcW w:w="959" w:type="dxa"/>
          </w:tcPr>
          <w:p w14:paraId="0D3C447A" w14:textId="7239CE2A" w:rsidR="0027231E" w:rsidRDefault="00E10F33" w:rsidP="00E57E64">
            <w:r>
              <w:t>8</w:t>
            </w:r>
            <w:r w:rsidR="0027231E">
              <w:t>.</w:t>
            </w:r>
          </w:p>
        </w:tc>
        <w:tc>
          <w:tcPr>
            <w:tcW w:w="6520" w:type="dxa"/>
          </w:tcPr>
          <w:p w14:paraId="5C1BA71A" w14:textId="04E90525" w:rsidR="0027231E" w:rsidRDefault="0027231E" w:rsidP="00E57E64">
            <w:pPr>
              <w:jc w:val="both"/>
            </w:pPr>
            <w:r>
              <w:t xml:space="preserve">The role of the Provincial Chancellor, and any Vice-Chancellors appointed, shall be to provide advice and support to the Primate / </w:t>
            </w:r>
            <w:r w:rsidR="003322DF">
              <w:t>te P</w:t>
            </w:r>
            <w:r w:rsidR="003322DF">
              <w:rPr>
                <w:rFonts w:ascii="Arial" w:hAnsi="Arial" w:cs="Arial"/>
              </w:rPr>
              <w:t>ī</w:t>
            </w:r>
            <w:r w:rsidR="003322DF">
              <w:t>hopa M</w:t>
            </w:r>
            <w:r w:rsidR="003322DF">
              <w:rPr>
                <w:rFonts w:ascii="Arial" w:hAnsi="Arial" w:cs="Arial"/>
              </w:rPr>
              <w:t>ā</w:t>
            </w:r>
            <w:r w:rsidR="003322DF">
              <w:t>t</w:t>
            </w:r>
            <w:r w:rsidR="003322DF">
              <w:rPr>
                <w:rFonts w:ascii="Arial" w:hAnsi="Arial" w:cs="Arial"/>
              </w:rPr>
              <w:t>ā</w:t>
            </w:r>
            <w:r w:rsidR="003322DF">
              <w:t>mua, General Synod Standing Committee and the General Synod / te H</w:t>
            </w:r>
            <w:r w:rsidR="003322DF">
              <w:rPr>
                <w:rFonts w:ascii="Arial" w:hAnsi="Arial" w:cs="Arial"/>
              </w:rPr>
              <w:t>ī</w:t>
            </w:r>
            <w:r w:rsidR="003322DF">
              <w:t>nota Wh</w:t>
            </w:r>
            <w:r w:rsidR="003322DF">
              <w:rPr>
                <w:rFonts w:ascii="Arial" w:hAnsi="Arial" w:cs="Arial"/>
              </w:rPr>
              <w:t>ā</w:t>
            </w:r>
            <w:r w:rsidR="003322DF">
              <w:t>nui</w:t>
            </w:r>
            <w:r w:rsidR="002F3F8E">
              <w:t>, as required.</w:t>
            </w:r>
          </w:p>
        </w:tc>
        <w:tc>
          <w:tcPr>
            <w:tcW w:w="1560" w:type="dxa"/>
          </w:tcPr>
          <w:p w14:paraId="2BE685C9" w14:textId="42EEEA0F" w:rsidR="0027231E" w:rsidRDefault="00C70273" w:rsidP="00E50AB2">
            <w:pPr>
              <w:spacing w:before="20"/>
              <w:ind w:left="34"/>
              <w:rPr>
                <w:i/>
                <w:sz w:val="18"/>
              </w:rPr>
            </w:pPr>
            <w:r>
              <w:rPr>
                <w:i/>
                <w:sz w:val="18"/>
              </w:rPr>
              <w:t>2020</w:t>
            </w:r>
            <w:r w:rsidR="00832A27">
              <w:rPr>
                <w:i/>
                <w:sz w:val="18"/>
              </w:rPr>
              <w:t xml:space="preserve">, </w:t>
            </w:r>
            <w:r w:rsidR="0067026C">
              <w:rPr>
                <w:i/>
                <w:sz w:val="18"/>
              </w:rPr>
              <w:t>2022</w:t>
            </w:r>
          </w:p>
        </w:tc>
      </w:tr>
    </w:tbl>
    <w:p w14:paraId="6AFD40E1" w14:textId="77777777" w:rsidR="00D540C7" w:rsidRDefault="00D540C7"/>
    <w:sectPr w:rsidR="00D540C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4359" w14:textId="77777777" w:rsidR="005A6071" w:rsidRDefault="005A6071" w:rsidP="007F14B1">
      <w:pPr>
        <w:spacing w:after="0"/>
      </w:pPr>
      <w:r>
        <w:separator/>
      </w:r>
    </w:p>
  </w:endnote>
  <w:endnote w:type="continuationSeparator" w:id="0">
    <w:p w14:paraId="14643BD5" w14:textId="77777777" w:rsidR="005A6071" w:rsidRDefault="005A6071" w:rsidP="007F1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DAD1" w14:textId="46189060" w:rsidR="007F14B1" w:rsidRPr="007F14B1" w:rsidRDefault="007F14B1" w:rsidP="00860456">
    <w:pPr>
      <w:pStyle w:val="Footer"/>
      <w:numPr>
        <w:ilvl w:val="0"/>
        <w:numId w:val="1"/>
      </w:numPr>
      <w:tabs>
        <w:tab w:val="clear" w:pos="4513"/>
      </w:tabs>
      <w:ind w:left="4678" w:hanging="218"/>
      <w:rPr>
        <w:rFonts w:ascii="Times New Roman" w:hAnsi="Times New Roman"/>
        <w:sz w:val="20"/>
      </w:rPr>
    </w:pPr>
    <w:r>
      <w:rPr>
        <w:rFonts w:ascii="Times New Roman" w:hAnsi="Times New Roman"/>
        <w:sz w:val="20"/>
      </w:rPr>
      <w:t>D.2</w:t>
    </w:r>
    <w:r w:rsidR="00EE6B2A">
      <w:rPr>
        <w:rFonts w:ascii="Times New Roman" w:hAnsi="Times New Roman"/>
        <w:sz w:val="20"/>
      </w:rPr>
      <w:t>5</w:t>
    </w:r>
    <w:r>
      <w:rPr>
        <w:rFonts w:ascii="Times New Roman" w:hAnsi="Times New Roman"/>
        <w:sz w:val="20"/>
      </w:rPr>
      <w:t xml:space="preserve"> -</w:t>
    </w:r>
    <w:r>
      <w:rPr>
        <w:rFonts w:ascii="Times New Roman" w:hAnsi="Times New Roman"/>
        <w:sz w:val="20"/>
      </w:rPr>
      <w:tab/>
      <w:t>20</w:t>
    </w:r>
    <w:r w:rsidR="00040EBA">
      <w:rPr>
        <w:rFonts w:ascii="Times New Roman" w:hAnsi="Times New Roman"/>
        <w:sz w:val="20"/>
      </w:rPr>
      <w:t>2</w:t>
    </w:r>
    <w:r w:rsidR="008509B4">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64BA" w14:textId="77777777" w:rsidR="005A6071" w:rsidRDefault="005A6071" w:rsidP="007F14B1">
      <w:pPr>
        <w:spacing w:after="0"/>
      </w:pPr>
      <w:r>
        <w:separator/>
      </w:r>
    </w:p>
  </w:footnote>
  <w:footnote w:type="continuationSeparator" w:id="0">
    <w:p w14:paraId="376A0789" w14:textId="77777777" w:rsidR="005A6071" w:rsidRDefault="005A6071" w:rsidP="007F14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23C7" w14:textId="04F8BD13" w:rsidR="007F14B1" w:rsidRPr="007F14B1" w:rsidRDefault="007F14B1" w:rsidP="007F14B1">
    <w:pPr>
      <w:pStyle w:val="Header"/>
      <w:tabs>
        <w:tab w:val="clear" w:pos="9026"/>
        <w:tab w:val="left" w:pos="6237"/>
        <w:tab w:val="right" w:pos="8931"/>
      </w:tabs>
      <w:rPr>
        <w:rFonts w:ascii="Arial" w:hAnsi="Arial" w:cs="Arial"/>
        <w:b/>
      </w:rPr>
    </w:pPr>
    <w:r>
      <w:rPr>
        <w:rFonts w:ascii="Arial" w:hAnsi="Arial" w:cs="Arial"/>
        <w:b/>
      </w:rPr>
      <w:tab/>
    </w:r>
    <w:r>
      <w:rPr>
        <w:rFonts w:ascii="Arial" w:hAnsi="Arial" w:cs="Arial"/>
        <w:b/>
      </w:rPr>
      <w:tab/>
      <w:t>CANON V</w:t>
    </w:r>
    <w:r>
      <w:rPr>
        <w:rFonts w:ascii="Arial" w:hAnsi="Arial" w:cs="Arial"/>
        <w:b/>
      </w:rPr>
      <w:tab/>
      <w:t>TITLE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BEE"/>
    <w:multiLevelType w:val="hybridMultilevel"/>
    <w:tmpl w:val="604A5372"/>
    <w:lvl w:ilvl="0" w:tplc="80A846D8">
      <w:start w:val="14"/>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98909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B1"/>
    <w:rsid w:val="00040EBA"/>
    <w:rsid w:val="00066988"/>
    <w:rsid w:val="00066C79"/>
    <w:rsid w:val="00094E6D"/>
    <w:rsid w:val="000C0D0C"/>
    <w:rsid w:val="000F1A8D"/>
    <w:rsid w:val="00101156"/>
    <w:rsid w:val="001845A6"/>
    <w:rsid w:val="001F75BB"/>
    <w:rsid w:val="0027231E"/>
    <w:rsid w:val="002B0489"/>
    <w:rsid w:val="002E66C0"/>
    <w:rsid w:val="002F3F8E"/>
    <w:rsid w:val="003322DF"/>
    <w:rsid w:val="003811CA"/>
    <w:rsid w:val="00482DA5"/>
    <w:rsid w:val="00520BA4"/>
    <w:rsid w:val="005A6071"/>
    <w:rsid w:val="00625739"/>
    <w:rsid w:val="00646402"/>
    <w:rsid w:val="0067026C"/>
    <w:rsid w:val="00671E04"/>
    <w:rsid w:val="007F14B1"/>
    <w:rsid w:val="00812D81"/>
    <w:rsid w:val="00832A27"/>
    <w:rsid w:val="008509B4"/>
    <w:rsid w:val="00860456"/>
    <w:rsid w:val="008711F1"/>
    <w:rsid w:val="00906034"/>
    <w:rsid w:val="00973A86"/>
    <w:rsid w:val="009F5134"/>
    <w:rsid w:val="00C61391"/>
    <w:rsid w:val="00C70273"/>
    <w:rsid w:val="00D540C7"/>
    <w:rsid w:val="00D65137"/>
    <w:rsid w:val="00DC5872"/>
    <w:rsid w:val="00E10F33"/>
    <w:rsid w:val="00E449DC"/>
    <w:rsid w:val="00E50AB2"/>
    <w:rsid w:val="00EC3C00"/>
    <w:rsid w:val="00EE6B2A"/>
    <w:rsid w:val="00F778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3B93"/>
  <w15:chartTrackingRefBased/>
  <w15:docId w15:val="{2F93F9EE-0F56-4B7B-B608-A032044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B1"/>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7F14B1"/>
    <w:pPr>
      <w:keepNext/>
      <w:spacing w:before="240" w:after="60"/>
      <w:jc w:val="center"/>
      <w:outlineLvl w:val="0"/>
    </w:pPr>
    <w:rPr>
      <w:rFonts w:ascii="Arial" w:hAnsi="Arial"/>
      <w:b/>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4B1"/>
    <w:rPr>
      <w:rFonts w:ascii="Arial" w:eastAsia="Times New Roman" w:hAnsi="Arial" w:cs="Times New Roman"/>
      <w:b/>
      <w:kern w:val="28"/>
      <w:sz w:val="24"/>
      <w:szCs w:val="20"/>
      <w:u w:val="single"/>
      <w:lang w:val="en-AU"/>
    </w:rPr>
  </w:style>
  <w:style w:type="paragraph" w:styleId="BodyText3">
    <w:name w:val="Body Text 3"/>
    <w:basedOn w:val="Normal"/>
    <w:link w:val="BodyText3Char"/>
    <w:semiHidden/>
    <w:rsid w:val="007F14B1"/>
    <w:pPr>
      <w:jc w:val="both"/>
    </w:pPr>
    <w:rPr>
      <w:lang w:val="en-GB"/>
    </w:rPr>
  </w:style>
  <w:style w:type="character" w:customStyle="1" w:styleId="BodyText3Char">
    <w:name w:val="Body Text 3 Char"/>
    <w:basedOn w:val="DefaultParagraphFont"/>
    <w:link w:val="BodyText3"/>
    <w:semiHidden/>
    <w:rsid w:val="007F14B1"/>
    <w:rPr>
      <w:rFonts w:ascii="Arial Mäori" w:eastAsia="Times New Roman" w:hAnsi="Arial Mäori" w:cs="Times New Roman"/>
      <w:szCs w:val="20"/>
      <w:lang w:val="en-GB"/>
    </w:rPr>
  </w:style>
  <w:style w:type="paragraph" w:styleId="Header">
    <w:name w:val="header"/>
    <w:basedOn w:val="Normal"/>
    <w:link w:val="HeaderChar"/>
    <w:uiPriority w:val="99"/>
    <w:unhideWhenUsed/>
    <w:rsid w:val="007F14B1"/>
    <w:pPr>
      <w:tabs>
        <w:tab w:val="center" w:pos="4513"/>
        <w:tab w:val="right" w:pos="9026"/>
      </w:tabs>
      <w:spacing w:after="0"/>
    </w:pPr>
  </w:style>
  <w:style w:type="character" w:customStyle="1" w:styleId="HeaderChar">
    <w:name w:val="Header Char"/>
    <w:basedOn w:val="DefaultParagraphFont"/>
    <w:link w:val="Header"/>
    <w:uiPriority w:val="99"/>
    <w:rsid w:val="007F14B1"/>
    <w:rPr>
      <w:rFonts w:ascii="Arial Mäori" w:eastAsia="Times New Roman" w:hAnsi="Arial Mäori" w:cs="Times New Roman"/>
      <w:szCs w:val="20"/>
      <w:lang w:val="en-AU"/>
    </w:rPr>
  </w:style>
  <w:style w:type="paragraph" w:styleId="Footer">
    <w:name w:val="footer"/>
    <w:basedOn w:val="Normal"/>
    <w:link w:val="FooterChar"/>
    <w:uiPriority w:val="99"/>
    <w:unhideWhenUsed/>
    <w:rsid w:val="007F14B1"/>
    <w:pPr>
      <w:tabs>
        <w:tab w:val="center" w:pos="4513"/>
        <w:tab w:val="right" w:pos="9026"/>
      </w:tabs>
      <w:spacing w:after="0"/>
    </w:pPr>
  </w:style>
  <w:style w:type="character" w:customStyle="1" w:styleId="FooterChar">
    <w:name w:val="Footer Char"/>
    <w:basedOn w:val="DefaultParagraphFont"/>
    <w:link w:val="Footer"/>
    <w:uiPriority w:val="99"/>
    <w:rsid w:val="007F14B1"/>
    <w:rPr>
      <w:rFonts w:ascii="Arial Mäori" w:eastAsia="Times New Roman" w:hAnsi="Arial Mäori"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3647E-AB7C-4D05-8D6D-FD34BFEF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50FFF-2619-4DF5-AA2D-D7A47D57653E}">
  <ds:schemaRefs>
    <ds:schemaRef ds:uri="http://schemas.microsoft.com/sharepoint/v3/contenttype/forms"/>
  </ds:schemaRefs>
</ds:datastoreItem>
</file>

<file path=customXml/itemProps3.xml><?xml version="1.0" encoding="utf-8"?>
<ds:datastoreItem xmlns:ds="http://schemas.openxmlformats.org/officeDocument/2006/customXml" ds:itemID="{48FD920D-1B1B-4A5F-A886-EED3359C8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Canons 2016 Update D26</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D26</dc:title>
  <dc:subject/>
  <dc:creator>Marissa Alix</dc:creator>
  <cp:keywords/>
  <dc:description/>
  <cp:lastModifiedBy>Michael Hughes</cp:lastModifiedBy>
  <cp:revision>2</cp:revision>
  <cp:lastPrinted>2020-11-16T03:29:00Z</cp:lastPrinted>
  <dcterms:created xsi:type="dcterms:W3CDTF">2023-07-06T01:23:00Z</dcterms:created>
  <dcterms:modified xsi:type="dcterms:W3CDTF">2023-07-06T01:23:00Z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